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55222" w:rsidRDefault="00455222">
      <w:pPr>
        <w:rPr>
          <w:b/>
          <w:bCs/>
        </w:rPr>
      </w:pPr>
    </w:p>
    <w:p w:rsidR="00455222" w:rsidRDefault="00455222">
      <w:pPr>
        <w:rPr>
          <w:b/>
          <w:bCs/>
        </w:rPr>
      </w:pPr>
    </w:p>
    <w:p w:rsidR="00455222" w:rsidRDefault="00455222">
      <w:pPr>
        <w:rPr>
          <w:b/>
          <w:bCs/>
        </w:rPr>
      </w:pPr>
    </w:p>
    <w:p w:rsidR="00455222" w:rsidRDefault="00455222">
      <w:pPr>
        <w:rPr>
          <w:b/>
          <w:bCs/>
        </w:rPr>
      </w:pPr>
    </w:p>
    <w:p w:rsidR="00455222" w:rsidRDefault="00455222">
      <w:pPr>
        <w:rPr>
          <w:b/>
          <w:bCs/>
        </w:rPr>
      </w:pPr>
    </w:p>
    <w:p w:rsidR="00455222" w:rsidRDefault="00455222">
      <w:pPr>
        <w:rPr>
          <w:b/>
          <w:bCs/>
        </w:rPr>
      </w:pPr>
    </w:p>
    <w:p w:rsidR="00455222" w:rsidRDefault="00455222">
      <w:pPr>
        <w:rPr>
          <w:b/>
          <w:bCs/>
        </w:rPr>
      </w:pPr>
    </w:p>
    <w:p w:rsidR="00455222" w:rsidRDefault="00455222">
      <w:pPr>
        <w:rPr>
          <w:b/>
          <w:bCs/>
        </w:rPr>
      </w:pPr>
    </w:p>
    <w:p w:rsidR="00455222" w:rsidRDefault="006E281F" w:rsidP="00455222">
      <w:pPr>
        <w:spacing w:line="480" w:lineRule="auto"/>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Federal Laws Discussions</w:t>
      </w:r>
    </w:p>
    <w:p w:rsidR="00455222" w:rsidRDefault="006E281F" w:rsidP="00455222">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Students Name</w:t>
      </w:r>
    </w:p>
    <w:p w:rsidR="00455222" w:rsidRDefault="006E281F" w:rsidP="00455222">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Institutional Affiliation</w:t>
      </w:r>
    </w:p>
    <w:p w:rsidR="00455222" w:rsidRDefault="006E281F" w:rsidP="00455222">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Date</w:t>
      </w:r>
    </w:p>
    <w:p w:rsidR="00455222" w:rsidRDefault="00455222" w:rsidP="00455222">
      <w:pPr>
        <w:jc w:val="center"/>
        <w:rPr>
          <w:b/>
          <w:bCs/>
        </w:rPr>
      </w:pPr>
    </w:p>
    <w:p w:rsidR="00455222" w:rsidRDefault="00455222">
      <w:pPr>
        <w:rPr>
          <w:b/>
          <w:bCs/>
        </w:rPr>
      </w:pPr>
    </w:p>
    <w:p w:rsidR="00455222" w:rsidRDefault="00455222">
      <w:pPr>
        <w:rPr>
          <w:b/>
          <w:bCs/>
        </w:rPr>
      </w:pPr>
    </w:p>
    <w:p w:rsidR="00455222" w:rsidRDefault="00455222">
      <w:pPr>
        <w:rPr>
          <w:b/>
          <w:bCs/>
        </w:rPr>
      </w:pPr>
    </w:p>
    <w:p w:rsidR="00455222" w:rsidRDefault="00455222">
      <w:pPr>
        <w:rPr>
          <w:b/>
          <w:bCs/>
        </w:rPr>
      </w:pPr>
    </w:p>
    <w:p w:rsidR="00455222" w:rsidRDefault="00455222">
      <w:pPr>
        <w:rPr>
          <w:b/>
          <w:bCs/>
        </w:rPr>
      </w:pPr>
    </w:p>
    <w:p w:rsidR="00455222" w:rsidRDefault="00455222">
      <w:pPr>
        <w:rPr>
          <w:b/>
          <w:bCs/>
        </w:rPr>
      </w:pPr>
    </w:p>
    <w:p w:rsidR="00455222" w:rsidRDefault="00455222">
      <w:pPr>
        <w:rPr>
          <w:b/>
          <w:bCs/>
        </w:rPr>
      </w:pPr>
    </w:p>
    <w:p w:rsidR="00455222" w:rsidRDefault="00455222">
      <w:pPr>
        <w:rPr>
          <w:b/>
          <w:bCs/>
        </w:rPr>
      </w:pPr>
    </w:p>
    <w:p w:rsidR="00455222" w:rsidRDefault="00455222">
      <w:pPr>
        <w:rPr>
          <w:b/>
          <w:bCs/>
        </w:rPr>
      </w:pPr>
    </w:p>
    <w:p w:rsidR="00455222" w:rsidRDefault="00455222">
      <w:pPr>
        <w:rPr>
          <w:b/>
          <w:bCs/>
        </w:rPr>
      </w:pPr>
    </w:p>
    <w:p w:rsidR="00455222" w:rsidRDefault="00455222">
      <w:pPr>
        <w:rPr>
          <w:b/>
          <w:bCs/>
        </w:rPr>
      </w:pPr>
    </w:p>
    <w:p w:rsidR="00455222" w:rsidRDefault="00455222">
      <w:pPr>
        <w:rPr>
          <w:b/>
          <w:bCs/>
        </w:rPr>
      </w:pPr>
    </w:p>
    <w:p w:rsidR="00455222" w:rsidRDefault="00455222">
      <w:pPr>
        <w:rPr>
          <w:b/>
          <w:bCs/>
        </w:rPr>
      </w:pPr>
    </w:p>
    <w:p w:rsidR="00455222" w:rsidRDefault="00455222">
      <w:pPr>
        <w:rPr>
          <w:b/>
          <w:bCs/>
        </w:rPr>
      </w:pPr>
    </w:p>
    <w:p w:rsidR="00455222" w:rsidRDefault="00455222">
      <w:pPr>
        <w:rPr>
          <w:b/>
          <w:bCs/>
        </w:rPr>
      </w:pPr>
    </w:p>
    <w:p w:rsidR="00455222" w:rsidRDefault="00455222">
      <w:pPr>
        <w:rPr>
          <w:b/>
          <w:bCs/>
        </w:rPr>
      </w:pPr>
    </w:p>
    <w:p w:rsidR="00455222" w:rsidRPr="00455222" w:rsidRDefault="006E281F" w:rsidP="00455222">
      <w:pPr>
        <w:spacing w:line="480" w:lineRule="auto"/>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lastRenderedPageBreak/>
        <w:t>Federal Laws Discussions</w:t>
      </w:r>
    </w:p>
    <w:p w:rsidR="00E74F0B" w:rsidRPr="00455222" w:rsidRDefault="006E281F" w:rsidP="00455222">
      <w:pPr>
        <w:spacing w:after="0" w:line="480" w:lineRule="auto"/>
        <w:jc w:val="center"/>
        <w:rPr>
          <w:rFonts w:ascii="Times New Roman" w:hAnsi="Times New Roman" w:cs="Times New Roman"/>
          <w:b/>
          <w:bCs/>
          <w:color w:val="000000" w:themeColor="text1"/>
          <w:sz w:val="24"/>
          <w:szCs w:val="24"/>
        </w:rPr>
      </w:pPr>
      <w:r w:rsidRPr="00455222">
        <w:rPr>
          <w:rFonts w:ascii="Times New Roman" w:hAnsi="Times New Roman" w:cs="Times New Roman"/>
          <w:b/>
          <w:bCs/>
          <w:color w:val="000000" w:themeColor="text1"/>
          <w:sz w:val="24"/>
          <w:szCs w:val="24"/>
        </w:rPr>
        <w:t>Discussion 1- Federal and State Law</w:t>
      </w:r>
    </w:p>
    <w:p w:rsidR="00954FD4" w:rsidRPr="00455222" w:rsidRDefault="006E281F" w:rsidP="00455222">
      <w:pPr>
        <w:spacing w:after="0" w:line="480" w:lineRule="auto"/>
        <w:ind w:firstLine="851"/>
        <w:rPr>
          <w:rFonts w:ascii="Times New Roman" w:hAnsi="Times New Roman" w:cs="Times New Roman"/>
          <w:color w:val="000000" w:themeColor="text1"/>
          <w:sz w:val="24"/>
          <w:szCs w:val="24"/>
        </w:rPr>
      </w:pPr>
      <w:r w:rsidRPr="00455222">
        <w:rPr>
          <w:rFonts w:ascii="Times New Roman" w:hAnsi="Times New Roman" w:cs="Times New Roman"/>
          <w:color w:val="000000" w:themeColor="text1"/>
          <w:sz w:val="24"/>
          <w:szCs w:val="24"/>
        </w:rPr>
        <w:t xml:space="preserve">In 2008, the US </w:t>
      </w:r>
      <w:r w:rsidR="009A239D" w:rsidRPr="00455222">
        <w:rPr>
          <w:rFonts w:ascii="Times New Roman" w:hAnsi="Times New Roman" w:cs="Times New Roman"/>
          <w:color w:val="000000" w:themeColor="text1"/>
          <w:sz w:val="24"/>
          <w:szCs w:val="24"/>
        </w:rPr>
        <w:t>Supreme Court</w:t>
      </w:r>
      <w:r w:rsidRPr="00455222">
        <w:rPr>
          <w:rFonts w:ascii="Times New Roman" w:hAnsi="Times New Roman" w:cs="Times New Roman"/>
          <w:color w:val="000000" w:themeColor="text1"/>
          <w:sz w:val="24"/>
          <w:szCs w:val="24"/>
        </w:rPr>
        <w:t xml:space="preserve"> issued a decision following the Second Amendment interpretation, which was established in 1939. The court provided that in the USA, the Second Amendment confers the individual rights of possession of firearm</w:t>
      </w:r>
      <w:r w:rsidR="000274EF">
        <w:rPr>
          <w:rFonts w:ascii="Times New Roman" w:hAnsi="Times New Roman" w:cs="Times New Roman"/>
          <w:color w:val="000000" w:themeColor="text1"/>
          <w:sz w:val="24"/>
          <w:szCs w:val="24"/>
        </w:rPr>
        <w:t>s</w:t>
      </w:r>
      <w:r w:rsidRPr="00455222">
        <w:rPr>
          <w:rFonts w:ascii="Times New Roman" w:hAnsi="Times New Roman" w:cs="Times New Roman"/>
          <w:color w:val="000000" w:themeColor="text1"/>
          <w:sz w:val="24"/>
          <w:szCs w:val="24"/>
        </w:rPr>
        <w:t xml:space="preserve"> for lawful purposes such as self-defense. The court also ruled that the two provisions in the District of Columbia- banning of the handguns and trigger-locking and dissembling of home firearms- violated the Second Amendment rights. Due to the issues linked to the </w:t>
      </w:r>
      <w:r w:rsidR="00126437">
        <w:rPr>
          <w:rFonts w:ascii="Times New Roman" w:hAnsi="Times New Roman" w:cs="Times New Roman"/>
          <w:color w:val="000000" w:themeColor="text1"/>
          <w:sz w:val="24"/>
          <w:szCs w:val="24"/>
        </w:rPr>
        <w:t>S</w:t>
      </w:r>
      <w:r w:rsidRPr="00455222">
        <w:rPr>
          <w:rFonts w:ascii="Times New Roman" w:hAnsi="Times New Roman" w:cs="Times New Roman"/>
          <w:color w:val="000000" w:themeColor="text1"/>
          <w:sz w:val="24"/>
          <w:szCs w:val="24"/>
        </w:rPr>
        <w:t xml:space="preserve">econd </w:t>
      </w:r>
      <w:r w:rsidR="00126437">
        <w:rPr>
          <w:rFonts w:ascii="Times New Roman" w:hAnsi="Times New Roman" w:cs="Times New Roman"/>
          <w:color w:val="000000" w:themeColor="text1"/>
          <w:sz w:val="24"/>
          <w:szCs w:val="24"/>
        </w:rPr>
        <w:t>A</w:t>
      </w:r>
      <w:r w:rsidRPr="00455222">
        <w:rPr>
          <w:rFonts w:ascii="Times New Roman" w:hAnsi="Times New Roman" w:cs="Times New Roman"/>
          <w:color w:val="000000" w:themeColor="text1"/>
          <w:sz w:val="24"/>
          <w:szCs w:val="24"/>
        </w:rPr>
        <w:t>mendment cases concerning the ownership of weapons, the minimum protection law for the federal government will involve uninfringed rights to ownership of firearms by the people of the USA</w:t>
      </w:r>
      <w:r w:rsidR="005F79BD" w:rsidRPr="00455222">
        <w:rPr>
          <w:rFonts w:ascii="Times New Roman" w:hAnsi="Times New Roman" w:cs="Times New Roman"/>
          <w:color w:val="000000" w:themeColor="text1"/>
          <w:sz w:val="24"/>
          <w:szCs w:val="24"/>
        </w:rPr>
        <w:t xml:space="preserve"> (</w:t>
      </w:r>
      <w:r w:rsidR="005F79BD" w:rsidRPr="00455222">
        <w:rPr>
          <w:rFonts w:ascii="Times New Roman" w:hAnsi="Times New Roman" w:cs="Times New Roman"/>
          <w:color w:val="000000" w:themeColor="text1"/>
          <w:sz w:val="24"/>
          <w:szCs w:val="24"/>
          <w:shd w:val="clear" w:color="auto" w:fill="FFFFFF"/>
        </w:rPr>
        <w:t>Kopel, Cramer &amp; Olson, 2013)</w:t>
      </w:r>
      <w:r w:rsidRPr="00455222">
        <w:rPr>
          <w:rFonts w:ascii="Times New Roman" w:hAnsi="Times New Roman" w:cs="Times New Roman"/>
          <w:color w:val="000000" w:themeColor="text1"/>
          <w:sz w:val="24"/>
          <w:szCs w:val="24"/>
        </w:rPr>
        <w:t xml:space="preserve">. Under the right of individual ownership, </w:t>
      </w:r>
      <w:r w:rsidR="0004514F" w:rsidRPr="00455222">
        <w:rPr>
          <w:rFonts w:ascii="Times New Roman" w:hAnsi="Times New Roman" w:cs="Times New Roman"/>
          <w:color w:val="000000" w:themeColor="text1"/>
          <w:sz w:val="24"/>
          <w:szCs w:val="24"/>
        </w:rPr>
        <w:t xml:space="preserve">the USA legislative is restricted from prohibiting ownership of arms. From the phrase "a well-regulated militia," it is evident that the framers' goal was to restrict Congress from taking away the state's right to self-defense. Since the Second Amendment provides people with the right of ownership of firearms, the condition can enhance protection of the right by enhancing lawful possession of firearms by people. Through licensing of </w:t>
      </w:r>
      <w:r w:rsidR="00DF4908" w:rsidRPr="00455222">
        <w:rPr>
          <w:rFonts w:ascii="Times New Roman" w:hAnsi="Times New Roman" w:cs="Times New Roman"/>
          <w:color w:val="000000" w:themeColor="text1"/>
          <w:sz w:val="24"/>
          <w:szCs w:val="24"/>
        </w:rPr>
        <w:t>weapons,</w:t>
      </w:r>
      <w:r w:rsidR="00126437">
        <w:rPr>
          <w:rFonts w:ascii="Times New Roman" w:hAnsi="Times New Roman" w:cs="Times New Roman"/>
          <w:color w:val="000000" w:themeColor="text1"/>
          <w:sz w:val="24"/>
          <w:szCs w:val="24"/>
        </w:rPr>
        <w:t xml:space="preserve"> the federal </w:t>
      </w:r>
      <w:r w:rsidR="00DF4908">
        <w:rPr>
          <w:rFonts w:ascii="Times New Roman" w:hAnsi="Times New Roman" w:cs="Times New Roman"/>
          <w:color w:val="000000" w:themeColor="text1"/>
          <w:sz w:val="24"/>
          <w:szCs w:val="24"/>
        </w:rPr>
        <w:t>administration</w:t>
      </w:r>
      <w:r w:rsidR="0004514F" w:rsidRPr="00455222">
        <w:rPr>
          <w:rFonts w:ascii="Times New Roman" w:hAnsi="Times New Roman" w:cs="Times New Roman"/>
          <w:color w:val="000000" w:themeColor="text1"/>
          <w:sz w:val="24"/>
          <w:szCs w:val="24"/>
        </w:rPr>
        <w:t xml:space="preserve"> will ensure that people possess firearms through the permission of the state. More so, limiting the number of </w:t>
      </w:r>
      <w:r w:rsidR="00DF4908">
        <w:rPr>
          <w:rFonts w:ascii="Times New Roman" w:hAnsi="Times New Roman" w:cs="Times New Roman"/>
          <w:color w:val="000000" w:themeColor="text1"/>
          <w:sz w:val="24"/>
          <w:szCs w:val="24"/>
        </w:rPr>
        <w:t>f</w:t>
      </w:r>
      <w:r w:rsidR="0004514F" w:rsidRPr="00455222">
        <w:rPr>
          <w:rFonts w:ascii="Times New Roman" w:hAnsi="Times New Roman" w:cs="Times New Roman"/>
          <w:color w:val="000000" w:themeColor="text1"/>
          <w:sz w:val="24"/>
          <w:szCs w:val="24"/>
        </w:rPr>
        <w:t xml:space="preserve">ederal </w:t>
      </w:r>
      <w:r w:rsidR="00DF4908">
        <w:rPr>
          <w:rFonts w:ascii="Times New Roman" w:hAnsi="Times New Roman" w:cs="Times New Roman"/>
          <w:color w:val="000000" w:themeColor="text1"/>
          <w:sz w:val="24"/>
          <w:szCs w:val="24"/>
        </w:rPr>
        <w:t>f</w:t>
      </w:r>
      <w:r w:rsidR="0004514F" w:rsidRPr="00455222">
        <w:rPr>
          <w:rFonts w:ascii="Times New Roman" w:hAnsi="Times New Roman" w:cs="Times New Roman"/>
          <w:color w:val="000000" w:themeColor="text1"/>
          <w:sz w:val="24"/>
          <w:szCs w:val="24"/>
        </w:rPr>
        <w:t xml:space="preserve">irearms </w:t>
      </w:r>
      <w:r w:rsidR="00DF4908">
        <w:rPr>
          <w:rFonts w:ascii="Times New Roman" w:hAnsi="Times New Roman" w:cs="Times New Roman"/>
          <w:color w:val="000000" w:themeColor="text1"/>
          <w:sz w:val="24"/>
          <w:szCs w:val="24"/>
        </w:rPr>
        <w:t>l</w:t>
      </w:r>
      <w:r w:rsidR="0004514F" w:rsidRPr="00455222">
        <w:rPr>
          <w:rFonts w:ascii="Times New Roman" w:hAnsi="Times New Roman" w:cs="Times New Roman"/>
          <w:color w:val="000000" w:themeColor="text1"/>
          <w:sz w:val="24"/>
          <w:szCs w:val="24"/>
        </w:rPr>
        <w:t xml:space="preserve">icensees will ensure that the law is protected and the harms that can occur with the possession of the firearms are prevented. Since the </w:t>
      </w:r>
      <w:r w:rsidR="00E74F0B" w:rsidRPr="00455222">
        <w:rPr>
          <w:rFonts w:ascii="Times New Roman" w:hAnsi="Times New Roman" w:cs="Times New Roman"/>
          <w:color w:val="000000" w:themeColor="text1"/>
          <w:sz w:val="24"/>
          <w:szCs w:val="24"/>
        </w:rPr>
        <w:t>federal treaties and statutes are supreme and they cannot go against the constitution, the increased constitutional protection of the second Amendment will enhance conflicts</w:t>
      </w:r>
      <w:r w:rsidR="005F79BD" w:rsidRPr="00455222">
        <w:rPr>
          <w:rFonts w:ascii="Times New Roman" w:hAnsi="Times New Roman" w:cs="Times New Roman"/>
          <w:color w:val="000000" w:themeColor="text1"/>
          <w:sz w:val="24"/>
          <w:szCs w:val="24"/>
        </w:rPr>
        <w:t xml:space="preserve"> (</w:t>
      </w:r>
      <w:r w:rsidR="005F79BD" w:rsidRPr="00455222">
        <w:rPr>
          <w:rFonts w:ascii="Times New Roman" w:hAnsi="Times New Roman" w:cs="Times New Roman"/>
          <w:color w:val="000000" w:themeColor="text1"/>
          <w:sz w:val="24"/>
          <w:szCs w:val="24"/>
          <w:shd w:val="clear" w:color="auto" w:fill="FFFFFF"/>
        </w:rPr>
        <w:t>Kopel, Cramer &amp; Olson, 2013)</w:t>
      </w:r>
      <w:r w:rsidR="00E74F0B" w:rsidRPr="00455222">
        <w:rPr>
          <w:rFonts w:ascii="Times New Roman" w:hAnsi="Times New Roman" w:cs="Times New Roman"/>
          <w:color w:val="000000" w:themeColor="text1"/>
          <w:sz w:val="24"/>
          <w:szCs w:val="24"/>
        </w:rPr>
        <w:t xml:space="preserve">. The Second Amendment has various conflicts of interest due to the federal government's need to regulate the law. In contrast, other people of interest want the law to be obeyed and provide free firearm ownership rights. Hence, increased protection will increase the number of court cases and appeals in the law. </w:t>
      </w:r>
    </w:p>
    <w:p w:rsidR="00CD3412" w:rsidRPr="00455222" w:rsidRDefault="006E281F" w:rsidP="00455222">
      <w:pPr>
        <w:spacing w:after="0" w:line="480" w:lineRule="auto"/>
        <w:jc w:val="center"/>
        <w:rPr>
          <w:rFonts w:ascii="Times New Roman" w:hAnsi="Times New Roman" w:cs="Times New Roman"/>
          <w:b/>
          <w:bCs/>
          <w:color w:val="000000" w:themeColor="text1"/>
          <w:sz w:val="24"/>
          <w:szCs w:val="24"/>
        </w:rPr>
      </w:pPr>
      <w:r w:rsidRPr="00455222">
        <w:rPr>
          <w:rFonts w:ascii="Times New Roman" w:hAnsi="Times New Roman" w:cs="Times New Roman"/>
          <w:b/>
          <w:bCs/>
          <w:color w:val="000000" w:themeColor="text1"/>
          <w:sz w:val="24"/>
          <w:szCs w:val="24"/>
        </w:rPr>
        <w:lastRenderedPageBreak/>
        <w:t>Discussion 2-Probation and Parole</w:t>
      </w:r>
    </w:p>
    <w:p w:rsidR="00CD3412" w:rsidRPr="00455222" w:rsidRDefault="006E281F" w:rsidP="00455222">
      <w:pPr>
        <w:spacing w:after="0" w:line="480" w:lineRule="auto"/>
        <w:ind w:firstLine="851"/>
        <w:rPr>
          <w:rFonts w:ascii="Times New Roman" w:hAnsi="Times New Roman" w:cs="Times New Roman"/>
          <w:color w:val="000000" w:themeColor="text1"/>
          <w:sz w:val="24"/>
          <w:szCs w:val="24"/>
        </w:rPr>
      </w:pPr>
      <w:r w:rsidRPr="00455222">
        <w:rPr>
          <w:rFonts w:ascii="Times New Roman" w:hAnsi="Times New Roman" w:cs="Times New Roman"/>
          <w:color w:val="000000" w:themeColor="text1"/>
          <w:sz w:val="24"/>
          <w:szCs w:val="24"/>
        </w:rPr>
        <w:t xml:space="preserve">There are various </w:t>
      </w:r>
      <w:r w:rsidR="00C54775">
        <w:rPr>
          <w:rFonts w:ascii="Times New Roman" w:hAnsi="Times New Roman" w:cs="Times New Roman"/>
          <w:color w:val="000000" w:themeColor="text1"/>
          <w:sz w:val="24"/>
          <w:szCs w:val="24"/>
        </w:rPr>
        <w:t>rights</w:t>
      </w:r>
      <w:r w:rsidR="00D10A5F" w:rsidRPr="00455222">
        <w:rPr>
          <w:rFonts w:ascii="Times New Roman" w:hAnsi="Times New Roman" w:cs="Times New Roman"/>
          <w:color w:val="000000" w:themeColor="text1"/>
          <w:sz w:val="24"/>
          <w:szCs w:val="24"/>
        </w:rPr>
        <w:t xml:space="preserve"> that probationers and parolees have while ignoring the court rulings</w:t>
      </w:r>
      <w:r w:rsidR="00D42C7A">
        <w:rPr>
          <w:rFonts w:ascii="Times New Roman" w:hAnsi="Times New Roman" w:cs="Times New Roman"/>
          <w:color w:val="000000" w:themeColor="text1"/>
          <w:sz w:val="24"/>
          <w:szCs w:val="24"/>
        </w:rPr>
        <w:t xml:space="preserve"> from the 4</w:t>
      </w:r>
      <w:r w:rsidR="00D42C7A" w:rsidRPr="00D42C7A">
        <w:rPr>
          <w:rFonts w:ascii="Times New Roman" w:hAnsi="Times New Roman" w:cs="Times New Roman"/>
          <w:color w:val="000000" w:themeColor="text1"/>
          <w:sz w:val="24"/>
          <w:szCs w:val="24"/>
          <w:vertAlign w:val="superscript"/>
        </w:rPr>
        <w:t>th</w:t>
      </w:r>
      <w:r w:rsidR="00D42C7A">
        <w:rPr>
          <w:rFonts w:ascii="Times New Roman" w:hAnsi="Times New Roman" w:cs="Times New Roman"/>
          <w:color w:val="000000" w:themeColor="text1"/>
          <w:sz w:val="24"/>
          <w:szCs w:val="24"/>
        </w:rPr>
        <w:t xml:space="preserve"> Amendment</w:t>
      </w:r>
      <w:r w:rsidR="00D10A5F" w:rsidRPr="00455222">
        <w:rPr>
          <w:rFonts w:ascii="Times New Roman" w:hAnsi="Times New Roman" w:cs="Times New Roman"/>
          <w:color w:val="000000" w:themeColor="text1"/>
          <w:sz w:val="24"/>
          <w:szCs w:val="24"/>
        </w:rPr>
        <w:t>. The law provides that the probationers have the right to deny warrantless search. The presence of warrantless searches is viewed as an intrusion the privacy</w:t>
      </w:r>
      <w:r w:rsidR="00F53D55" w:rsidRPr="00455222">
        <w:rPr>
          <w:rFonts w:ascii="Times New Roman" w:hAnsi="Times New Roman" w:cs="Times New Roman"/>
          <w:color w:val="000000" w:themeColor="text1"/>
          <w:sz w:val="24"/>
          <w:szCs w:val="24"/>
        </w:rPr>
        <w:t>. Another privilege of the probationers is the establishment of privacy. The 4</w:t>
      </w:r>
      <w:r w:rsidR="00F53D55" w:rsidRPr="00455222">
        <w:rPr>
          <w:rFonts w:ascii="Times New Roman" w:hAnsi="Times New Roman" w:cs="Times New Roman"/>
          <w:color w:val="000000" w:themeColor="text1"/>
          <w:sz w:val="24"/>
          <w:szCs w:val="24"/>
          <w:vertAlign w:val="superscript"/>
        </w:rPr>
        <w:t>th</w:t>
      </w:r>
      <w:r w:rsidR="00F53D55" w:rsidRPr="00455222">
        <w:rPr>
          <w:rFonts w:ascii="Times New Roman" w:hAnsi="Times New Roman" w:cs="Times New Roman"/>
          <w:color w:val="000000" w:themeColor="text1"/>
          <w:sz w:val="24"/>
          <w:szCs w:val="24"/>
        </w:rPr>
        <w:t xml:space="preserve"> Amendment provides that the probationers have the right to privacy, which denies th</w:t>
      </w:r>
      <w:r w:rsidR="000857EE" w:rsidRPr="00455222">
        <w:rPr>
          <w:rFonts w:ascii="Times New Roman" w:hAnsi="Times New Roman" w:cs="Times New Roman"/>
          <w:color w:val="000000" w:themeColor="text1"/>
          <w:sz w:val="24"/>
          <w:szCs w:val="24"/>
        </w:rPr>
        <w:t>e search that is not warranted by the state</w:t>
      </w:r>
      <w:r w:rsidR="005F79BD" w:rsidRPr="00455222">
        <w:rPr>
          <w:rFonts w:ascii="Times New Roman" w:hAnsi="Times New Roman" w:cs="Times New Roman"/>
          <w:color w:val="000000" w:themeColor="text1"/>
          <w:sz w:val="24"/>
          <w:szCs w:val="24"/>
        </w:rPr>
        <w:t xml:space="preserve"> (</w:t>
      </w:r>
      <w:r w:rsidR="005F79BD" w:rsidRPr="00455222">
        <w:rPr>
          <w:rFonts w:ascii="Times New Roman" w:hAnsi="Times New Roman" w:cs="Times New Roman"/>
          <w:color w:val="000000" w:themeColor="text1"/>
          <w:sz w:val="24"/>
          <w:szCs w:val="24"/>
          <w:shd w:val="clear" w:color="auto" w:fill="FFFFFF"/>
        </w:rPr>
        <w:t>Kaeble &amp; Alper, 2020)</w:t>
      </w:r>
      <w:r w:rsidR="000857EE" w:rsidRPr="00455222">
        <w:rPr>
          <w:rFonts w:ascii="Times New Roman" w:hAnsi="Times New Roman" w:cs="Times New Roman"/>
          <w:color w:val="000000" w:themeColor="text1"/>
          <w:sz w:val="24"/>
          <w:szCs w:val="24"/>
        </w:rPr>
        <w:t xml:space="preserve">. Also, the law protects the probationers from all unreasonable seizures from the administrative agents. A person is viewed to </w:t>
      </w:r>
      <w:r w:rsidR="00ED38C9">
        <w:rPr>
          <w:rFonts w:ascii="Times New Roman" w:hAnsi="Times New Roman" w:cs="Times New Roman"/>
          <w:color w:val="000000" w:themeColor="text1"/>
          <w:sz w:val="24"/>
          <w:szCs w:val="24"/>
        </w:rPr>
        <w:t>b</w:t>
      </w:r>
      <w:r w:rsidR="000857EE" w:rsidRPr="00455222">
        <w:rPr>
          <w:rFonts w:ascii="Times New Roman" w:hAnsi="Times New Roman" w:cs="Times New Roman"/>
          <w:color w:val="000000" w:themeColor="text1"/>
          <w:sz w:val="24"/>
          <w:szCs w:val="24"/>
        </w:rPr>
        <w:t>e seized within the Amendment if he or she is not given the freedom to leave.</w:t>
      </w:r>
    </w:p>
    <w:p w:rsidR="00CD3412" w:rsidRPr="00455222" w:rsidRDefault="000857EE" w:rsidP="00455222">
      <w:pPr>
        <w:spacing w:after="0" w:line="480" w:lineRule="auto"/>
        <w:ind w:firstLine="851"/>
        <w:rPr>
          <w:rFonts w:ascii="Times New Roman" w:hAnsi="Times New Roman" w:cs="Times New Roman"/>
          <w:color w:val="000000" w:themeColor="text1"/>
          <w:sz w:val="24"/>
          <w:szCs w:val="24"/>
        </w:rPr>
      </w:pPr>
      <w:r w:rsidRPr="00455222">
        <w:rPr>
          <w:rFonts w:ascii="Times New Roman" w:hAnsi="Times New Roman" w:cs="Times New Roman"/>
          <w:color w:val="000000" w:themeColor="text1"/>
          <w:sz w:val="24"/>
          <w:szCs w:val="24"/>
        </w:rPr>
        <w:t xml:space="preserve">A probable clause is also provided in case of a particular seizure or search. The probationer has to provide consent before the search. When </w:t>
      </w:r>
      <w:r w:rsidR="00F45E92">
        <w:rPr>
          <w:rFonts w:ascii="Times New Roman" w:hAnsi="Times New Roman" w:cs="Times New Roman"/>
          <w:color w:val="000000" w:themeColor="text1"/>
          <w:sz w:val="24"/>
          <w:szCs w:val="24"/>
        </w:rPr>
        <w:t xml:space="preserve">an </w:t>
      </w:r>
      <w:r w:rsidRPr="00455222">
        <w:rPr>
          <w:rFonts w:ascii="Times New Roman" w:hAnsi="Times New Roman" w:cs="Times New Roman"/>
          <w:color w:val="000000" w:themeColor="text1"/>
          <w:sz w:val="24"/>
          <w:szCs w:val="24"/>
        </w:rPr>
        <w:t>individual access early releases due to Parole, he possesses fewer rights. The state of release provides specific requirements such as seizures and searches of properties without a warrant and questioning without the suspicion of illegal issues. Prisoners do not possess the right to privacy under the 4</w:t>
      </w:r>
      <w:r w:rsidRPr="00455222">
        <w:rPr>
          <w:rFonts w:ascii="Times New Roman" w:hAnsi="Times New Roman" w:cs="Times New Roman"/>
          <w:color w:val="000000" w:themeColor="text1"/>
          <w:sz w:val="24"/>
          <w:szCs w:val="24"/>
          <w:vertAlign w:val="superscript"/>
        </w:rPr>
        <w:t>th</w:t>
      </w:r>
      <w:r w:rsidRPr="00455222">
        <w:rPr>
          <w:rFonts w:ascii="Times New Roman" w:hAnsi="Times New Roman" w:cs="Times New Roman"/>
          <w:color w:val="000000" w:themeColor="text1"/>
          <w:sz w:val="24"/>
          <w:szCs w:val="24"/>
        </w:rPr>
        <w:t xml:space="preserve"> Amendment. </w:t>
      </w:r>
      <w:r w:rsidR="007D4708" w:rsidRPr="00455222">
        <w:rPr>
          <w:rFonts w:ascii="Times New Roman" w:hAnsi="Times New Roman" w:cs="Times New Roman"/>
          <w:color w:val="000000" w:themeColor="text1"/>
          <w:sz w:val="24"/>
          <w:szCs w:val="24"/>
        </w:rPr>
        <w:t>This provides the penal institutions a responsibility of enhancing their internal security. However, they have the privilege of freedom from unusual and cruel punishment. Both male and female prisoners are provided with the right of equal protection under the law. During the proceedings, the prisoners have the right to know their charges, call witnesses, provide evidence, and the right to a neutral decision-maker. The main difference between a pretrial prisoner's rights to that of a convicted prisoner is that they have the right to privacy. They are only required to be searched if an officer suspects the presence of contraband</w:t>
      </w:r>
      <w:r w:rsidR="005F79BD" w:rsidRPr="00455222">
        <w:rPr>
          <w:rFonts w:ascii="Times New Roman" w:hAnsi="Times New Roman" w:cs="Times New Roman"/>
          <w:color w:val="000000" w:themeColor="text1"/>
          <w:sz w:val="24"/>
          <w:szCs w:val="24"/>
        </w:rPr>
        <w:t xml:space="preserve"> (</w:t>
      </w:r>
      <w:r w:rsidR="005F79BD" w:rsidRPr="00455222">
        <w:rPr>
          <w:rFonts w:ascii="Times New Roman" w:hAnsi="Times New Roman" w:cs="Times New Roman"/>
          <w:color w:val="000000" w:themeColor="text1"/>
          <w:sz w:val="24"/>
          <w:szCs w:val="24"/>
          <w:shd w:val="clear" w:color="auto" w:fill="FFFFFF"/>
        </w:rPr>
        <w:t>Kaeble &amp; Alper, 2020)</w:t>
      </w:r>
      <w:r w:rsidR="007D4708" w:rsidRPr="00455222">
        <w:rPr>
          <w:rFonts w:ascii="Times New Roman" w:hAnsi="Times New Roman" w:cs="Times New Roman"/>
          <w:color w:val="000000" w:themeColor="text1"/>
          <w:sz w:val="24"/>
          <w:szCs w:val="24"/>
        </w:rPr>
        <w:t xml:space="preserve">. More so, the pretrial prisoner is protected by the law </w:t>
      </w:r>
      <w:r w:rsidR="0011114D" w:rsidRPr="00455222">
        <w:rPr>
          <w:rFonts w:ascii="Times New Roman" w:hAnsi="Times New Roman" w:cs="Times New Roman"/>
          <w:color w:val="000000" w:themeColor="text1"/>
          <w:sz w:val="24"/>
          <w:szCs w:val="24"/>
        </w:rPr>
        <w:t xml:space="preserve">in the subject concerning disciplinary as they are only disciplined when they are proved to have violated the law. Jail and prison are two different places that offer the prisoners different rights of protection. For example, in jail, the prisoner has the right to privacy, while in prison, </w:t>
      </w:r>
      <w:r w:rsidR="0011114D" w:rsidRPr="00455222">
        <w:rPr>
          <w:rFonts w:ascii="Times New Roman" w:hAnsi="Times New Roman" w:cs="Times New Roman"/>
          <w:color w:val="000000" w:themeColor="text1"/>
          <w:sz w:val="24"/>
          <w:szCs w:val="24"/>
        </w:rPr>
        <w:lastRenderedPageBreak/>
        <w:t xml:space="preserve">the convict becomes a convicted prisoner who </w:t>
      </w:r>
      <w:r w:rsidR="00C07BC1">
        <w:rPr>
          <w:rFonts w:ascii="Times New Roman" w:hAnsi="Times New Roman" w:cs="Times New Roman"/>
          <w:color w:val="000000" w:themeColor="text1"/>
          <w:sz w:val="24"/>
          <w:szCs w:val="24"/>
        </w:rPr>
        <w:t>does not possess</w:t>
      </w:r>
      <w:r w:rsidR="0011114D" w:rsidRPr="00455222">
        <w:rPr>
          <w:rFonts w:ascii="Times New Roman" w:hAnsi="Times New Roman" w:cs="Times New Roman"/>
          <w:color w:val="000000" w:themeColor="text1"/>
          <w:sz w:val="24"/>
          <w:szCs w:val="24"/>
        </w:rPr>
        <w:t xml:space="preserve"> the right of privacy. The parolees and probationers should not be treated the same because they have different characteristics. The parolees have been observed in society to be fit for release while the probationers are still in the observation period, which means they need to be provided with different rights. </w:t>
      </w:r>
      <w:r w:rsidR="00582E6A" w:rsidRPr="00455222">
        <w:rPr>
          <w:rFonts w:ascii="Times New Roman" w:hAnsi="Times New Roman" w:cs="Times New Roman"/>
          <w:color w:val="000000" w:themeColor="text1"/>
          <w:sz w:val="24"/>
          <w:szCs w:val="24"/>
        </w:rPr>
        <w:t xml:space="preserve">The </w:t>
      </w:r>
      <w:r w:rsidR="0077696C">
        <w:rPr>
          <w:rFonts w:ascii="Times New Roman" w:hAnsi="Times New Roman" w:cs="Times New Roman"/>
          <w:color w:val="000000" w:themeColor="text1"/>
          <w:sz w:val="24"/>
          <w:szCs w:val="24"/>
        </w:rPr>
        <w:t>F</w:t>
      </w:r>
      <w:r w:rsidR="00582E6A" w:rsidRPr="00455222">
        <w:rPr>
          <w:rFonts w:ascii="Times New Roman" w:hAnsi="Times New Roman" w:cs="Times New Roman"/>
          <w:color w:val="000000" w:themeColor="text1"/>
          <w:sz w:val="24"/>
          <w:szCs w:val="24"/>
        </w:rPr>
        <w:t>ourth Amendment applies with the location as it applies in various areas with 4</w:t>
      </w:r>
      <w:r w:rsidR="00582E6A" w:rsidRPr="00455222">
        <w:rPr>
          <w:rFonts w:ascii="Times New Roman" w:hAnsi="Times New Roman" w:cs="Times New Roman"/>
          <w:color w:val="000000" w:themeColor="text1"/>
          <w:sz w:val="24"/>
          <w:szCs w:val="24"/>
          <w:vertAlign w:val="superscript"/>
        </w:rPr>
        <w:t>th</w:t>
      </w:r>
      <w:r w:rsidR="00582E6A" w:rsidRPr="00455222">
        <w:rPr>
          <w:rFonts w:ascii="Times New Roman" w:hAnsi="Times New Roman" w:cs="Times New Roman"/>
          <w:color w:val="000000" w:themeColor="text1"/>
          <w:sz w:val="24"/>
          <w:szCs w:val="24"/>
        </w:rPr>
        <w:t xml:space="preserve"> amendment laws. For example, people in foreign nations may not face this law due to the restriction of the law in the country. </w:t>
      </w:r>
    </w:p>
    <w:p w:rsidR="00582E6A" w:rsidRPr="00455222" w:rsidRDefault="006E281F" w:rsidP="00455222">
      <w:pPr>
        <w:spacing w:after="0" w:line="480" w:lineRule="auto"/>
        <w:jc w:val="center"/>
        <w:rPr>
          <w:rFonts w:ascii="Times New Roman" w:hAnsi="Times New Roman" w:cs="Times New Roman"/>
          <w:b/>
          <w:bCs/>
          <w:color w:val="000000" w:themeColor="text1"/>
          <w:sz w:val="24"/>
          <w:szCs w:val="24"/>
        </w:rPr>
      </w:pPr>
      <w:r w:rsidRPr="00455222">
        <w:rPr>
          <w:rFonts w:ascii="Times New Roman" w:hAnsi="Times New Roman" w:cs="Times New Roman"/>
          <w:b/>
          <w:bCs/>
          <w:color w:val="000000" w:themeColor="text1"/>
          <w:sz w:val="24"/>
          <w:szCs w:val="24"/>
        </w:rPr>
        <w:t>Discussion 3-Drug Testing</w:t>
      </w:r>
    </w:p>
    <w:p w:rsidR="00E85E60" w:rsidRPr="00455222" w:rsidRDefault="006E281F" w:rsidP="00455222">
      <w:pPr>
        <w:spacing w:after="0" w:line="480" w:lineRule="auto"/>
        <w:ind w:firstLine="851"/>
        <w:rPr>
          <w:rFonts w:ascii="Times New Roman" w:hAnsi="Times New Roman" w:cs="Times New Roman"/>
          <w:color w:val="000000" w:themeColor="text1"/>
          <w:sz w:val="24"/>
          <w:szCs w:val="24"/>
        </w:rPr>
      </w:pPr>
      <w:r w:rsidRPr="00455222">
        <w:rPr>
          <w:rFonts w:ascii="Times New Roman" w:hAnsi="Times New Roman" w:cs="Times New Roman"/>
          <w:color w:val="000000" w:themeColor="text1"/>
          <w:sz w:val="24"/>
          <w:szCs w:val="24"/>
        </w:rPr>
        <w:t xml:space="preserve">Some individuals who undergo drug testing are not pleased by the law because of its stigmatization and economic implications of the tests. More so, other people view it to be violating their rights. Drug testing welfare recipients are suitable because they enhance an incentive to prevent people from drug abuse. This enhances the motivation among people to stay clean. Drug testing welfare is unconstitutional in the US </w:t>
      </w:r>
      <w:r w:rsidR="0014623B">
        <w:rPr>
          <w:rFonts w:ascii="Times New Roman" w:hAnsi="Times New Roman" w:cs="Times New Roman"/>
          <w:color w:val="000000" w:themeColor="text1"/>
          <w:sz w:val="24"/>
          <w:szCs w:val="24"/>
        </w:rPr>
        <w:t>law</w:t>
      </w:r>
      <w:r w:rsidRPr="00455222">
        <w:rPr>
          <w:rFonts w:ascii="Times New Roman" w:hAnsi="Times New Roman" w:cs="Times New Roman"/>
          <w:color w:val="000000" w:themeColor="text1"/>
          <w:sz w:val="24"/>
          <w:szCs w:val="24"/>
        </w:rPr>
        <w:t xml:space="preserve">. The policy was termed unconstitutional in 2003. Suspicion-based testing involves testing individuals suspected of having used drugs, </w:t>
      </w:r>
      <w:r w:rsidR="00F945EA" w:rsidRPr="00455222">
        <w:rPr>
          <w:rFonts w:ascii="Times New Roman" w:hAnsi="Times New Roman" w:cs="Times New Roman"/>
          <w:color w:val="000000" w:themeColor="text1"/>
          <w:sz w:val="24"/>
          <w:szCs w:val="24"/>
        </w:rPr>
        <w:t>such as convicts of drug abuse</w:t>
      </w:r>
      <w:r w:rsidR="00455222" w:rsidRPr="00455222">
        <w:rPr>
          <w:rFonts w:ascii="Times New Roman" w:hAnsi="Times New Roman" w:cs="Times New Roman"/>
          <w:color w:val="000000" w:themeColor="text1"/>
          <w:sz w:val="24"/>
          <w:szCs w:val="24"/>
        </w:rPr>
        <w:t xml:space="preserve"> (</w:t>
      </w:r>
      <w:r w:rsidR="00455222" w:rsidRPr="00455222">
        <w:rPr>
          <w:rFonts w:ascii="Times New Roman" w:hAnsi="Times New Roman" w:cs="Times New Roman"/>
          <w:color w:val="000000" w:themeColor="text1"/>
          <w:sz w:val="24"/>
          <w:szCs w:val="24"/>
          <w:shd w:val="clear" w:color="auto" w:fill="FFFFFF"/>
        </w:rPr>
        <w:t>Smith, Marzilli &amp; Davidson, 2021)</w:t>
      </w:r>
      <w:r w:rsidR="00F945EA" w:rsidRPr="00455222">
        <w:rPr>
          <w:rFonts w:ascii="Times New Roman" w:hAnsi="Times New Roman" w:cs="Times New Roman"/>
          <w:color w:val="000000" w:themeColor="text1"/>
          <w:sz w:val="24"/>
          <w:szCs w:val="24"/>
        </w:rPr>
        <w:t>. Suspicionless-based testing is done where people are tested for a specific reason without suspected to be drug users, such as in recruiting employees. Under the constitution, Suspicionless testing violates the 4</w:t>
      </w:r>
      <w:r w:rsidR="00F945EA" w:rsidRPr="00455222">
        <w:rPr>
          <w:rFonts w:ascii="Times New Roman" w:hAnsi="Times New Roman" w:cs="Times New Roman"/>
          <w:color w:val="000000" w:themeColor="text1"/>
          <w:sz w:val="24"/>
          <w:szCs w:val="24"/>
          <w:vertAlign w:val="superscript"/>
        </w:rPr>
        <w:t>th</w:t>
      </w:r>
      <w:r w:rsidR="00F945EA" w:rsidRPr="00455222">
        <w:rPr>
          <w:rFonts w:ascii="Times New Roman" w:hAnsi="Times New Roman" w:cs="Times New Roman"/>
          <w:color w:val="000000" w:themeColor="text1"/>
          <w:sz w:val="24"/>
          <w:szCs w:val="24"/>
        </w:rPr>
        <w:t xml:space="preserve"> amendment law of privacy. However, suspicion testing is valid under the constitution as it provides a legal stand where people should be tested for drug use if they are suspected to be abusers. Due to the 4</w:t>
      </w:r>
      <w:r w:rsidR="00F945EA" w:rsidRPr="00455222">
        <w:rPr>
          <w:rFonts w:ascii="Times New Roman" w:hAnsi="Times New Roman" w:cs="Times New Roman"/>
          <w:color w:val="000000" w:themeColor="text1"/>
          <w:sz w:val="24"/>
          <w:szCs w:val="24"/>
          <w:vertAlign w:val="superscript"/>
        </w:rPr>
        <w:t>th</w:t>
      </w:r>
      <w:r w:rsidR="00F945EA" w:rsidRPr="00455222">
        <w:rPr>
          <w:rFonts w:ascii="Times New Roman" w:hAnsi="Times New Roman" w:cs="Times New Roman"/>
          <w:color w:val="000000" w:themeColor="text1"/>
          <w:sz w:val="24"/>
          <w:szCs w:val="24"/>
        </w:rPr>
        <w:t xml:space="preserve"> Amendment, which protects against unreasonable search, the politicians are not supposed to be tested for the drug. Testing them unwillingly will go against the constitution of the country. </w:t>
      </w:r>
      <w:r w:rsidR="00EE4F44">
        <w:rPr>
          <w:rFonts w:ascii="Times New Roman" w:hAnsi="Times New Roman" w:cs="Times New Roman"/>
          <w:color w:val="000000" w:themeColor="text1"/>
          <w:sz w:val="24"/>
          <w:szCs w:val="24"/>
        </w:rPr>
        <w:t>However, p</w:t>
      </w:r>
      <w:r w:rsidR="00F945EA" w:rsidRPr="00455222">
        <w:rPr>
          <w:rFonts w:ascii="Times New Roman" w:hAnsi="Times New Roman" w:cs="Times New Roman"/>
          <w:color w:val="000000" w:themeColor="text1"/>
          <w:sz w:val="24"/>
          <w:szCs w:val="24"/>
        </w:rPr>
        <w:t xml:space="preserve">arties who qualify for federal benefits such as veterans, Medicare, social security, and federal prisoners are exposed to mandatory </w:t>
      </w:r>
      <w:r w:rsidR="00635A7F" w:rsidRPr="00455222">
        <w:rPr>
          <w:rFonts w:ascii="Times New Roman" w:hAnsi="Times New Roman" w:cs="Times New Roman"/>
          <w:color w:val="000000" w:themeColor="text1"/>
          <w:sz w:val="24"/>
          <w:szCs w:val="24"/>
        </w:rPr>
        <w:t xml:space="preserve">workplace drug testing guidelines. Therefore, it is constitutional to enhance drug testing among them. </w:t>
      </w:r>
    </w:p>
    <w:p w:rsidR="00635A7F" w:rsidRPr="00455222" w:rsidRDefault="006E281F" w:rsidP="00455222">
      <w:pPr>
        <w:spacing w:after="0" w:line="480" w:lineRule="auto"/>
        <w:ind w:firstLine="851"/>
        <w:rPr>
          <w:rFonts w:ascii="Times New Roman" w:hAnsi="Times New Roman" w:cs="Times New Roman"/>
          <w:color w:val="000000" w:themeColor="text1"/>
          <w:sz w:val="24"/>
          <w:szCs w:val="24"/>
        </w:rPr>
      </w:pPr>
      <w:r w:rsidRPr="00455222">
        <w:rPr>
          <w:rFonts w:ascii="Times New Roman" w:hAnsi="Times New Roman" w:cs="Times New Roman"/>
          <w:color w:val="000000" w:themeColor="text1"/>
          <w:sz w:val="24"/>
          <w:szCs w:val="24"/>
        </w:rPr>
        <w:lastRenderedPageBreak/>
        <w:t>Some factors are considered when employers make decisions on firing employees who have tested positive for marijuana. Employers should not have the right to fire employees who use medical marijuana even though it is prohibited in the state</w:t>
      </w:r>
      <w:r w:rsidR="00455222" w:rsidRPr="00455222">
        <w:rPr>
          <w:rFonts w:ascii="Times New Roman" w:hAnsi="Times New Roman" w:cs="Times New Roman"/>
          <w:color w:val="000000" w:themeColor="text1"/>
          <w:sz w:val="24"/>
          <w:szCs w:val="24"/>
        </w:rPr>
        <w:t xml:space="preserve"> (</w:t>
      </w:r>
      <w:r w:rsidR="00455222" w:rsidRPr="00455222">
        <w:rPr>
          <w:rFonts w:ascii="Times New Roman" w:hAnsi="Times New Roman" w:cs="Times New Roman"/>
          <w:color w:val="000000" w:themeColor="text1"/>
          <w:sz w:val="24"/>
          <w:szCs w:val="24"/>
          <w:shd w:val="clear" w:color="auto" w:fill="FFFFFF"/>
        </w:rPr>
        <w:t>Smith, Marzilli &amp; Davidson, 2021)</w:t>
      </w:r>
      <w:r w:rsidRPr="00455222">
        <w:rPr>
          <w:rFonts w:ascii="Times New Roman" w:hAnsi="Times New Roman" w:cs="Times New Roman"/>
          <w:color w:val="000000" w:themeColor="text1"/>
          <w:sz w:val="24"/>
          <w:szCs w:val="24"/>
        </w:rPr>
        <w:t xml:space="preserve">. This is because the drug is used for medical purposes even though the employees may test positive in the drug tests. The employers should enhance considerations of other factors such as the reason for use. This law applies to the use of other </w:t>
      </w:r>
      <w:r w:rsidR="00D84CA0">
        <w:rPr>
          <w:rFonts w:ascii="Times New Roman" w:hAnsi="Times New Roman" w:cs="Times New Roman"/>
          <w:color w:val="000000" w:themeColor="text1"/>
          <w:sz w:val="24"/>
          <w:szCs w:val="24"/>
        </w:rPr>
        <w:t xml:space="preserve">substances such as </w:t>
      </w:r>
      <w:r w:rsidRPr="00455222">
        <w:rPr>
          <w:rFonts w:ascii="Times New Roman" w:hAnsi="Times New Roman" w:cs="Times New Roman"/>
          <w:color w:val="000000" w:themeColor="text1"/>
          <w:sz w:val="24"/>
          <w:szCs w:val="24"/>
        </w:rPr>
        <w:t xml:space="preserve">stimulants, opioids, or barbiturates. The employers are supposed to consider the reason for usage by the employees. The use of legal drugs such as caffeine, alcohol, or nicotine is allowed out of duty. However, employers are allowed to fire people who abuse drugs during working hours. For the private sector, the drug testing laws </w:t>
      </w:r>
      <w:r w:rsidR="00775212" w:rsidRPr="00455222">
        <w:rPr>
          <w:rFonts w:ascii="Times New Roman" w:hAnsi="Times New Roman" w:cs="Times New Roman"/>
          <w:color w:val="000000" w:themeColor="text1"/>
          <w:sz w:val="24"/>
          <w:szCs w:val="24"/>
        </w:rPr>
        <w:t xml:space="preserve">provide employers with the freedom to adopt testing policies that they want to choose. </w:t>
      </w:r>
    </w:p>
    <w:p w:rsidR="00455222" w:rsidRDefault="00455222" w:rsidP="00455222">
      <w:pPr>
        <w:spacing w:after="0" w:line="480" w:lineRule="auto"/>
        <w:ind w:firstLine="851"/>
        <w:rPr>
          <w:rFonts w:ascii="Times New Roman" w:hAnsi="Times New Roman" w:cs="Times New Roman"/>
          <w:b/>
          <w:bCs/>
          <w:color w:val="000000" w:themeColor="text1"/>
          <w:sz w:val="24"/>
          <w:szCs w:val="24"/>
        </w:rPr>
      </w:pPr>
    </w:p>
    <w:p w:rsidR="00455222" w:rsidRDefault="00455222" w:rsidP="00455222">
      <w:pPr>
        <w:spacing w:after="0" w:line="480" w:lineRule="auto"/>
        <w:ind w:firstLine="851"/>
        <w:rPr>
          <w:rFonts w:ascii="Times New Roman" w:hAnsi="Times New Roman" w:cs="Times New Roman"/>
          <w:b/>
          <w:bCs/>
          <w:color w:val="000000" w:themeColor="text1"/>
          <w:sz w:val="24"/>
          <w:szCs w:val="24"/>
        </w:rPr>
      </w:pPr>
    </w:p>
    <w:p w:rsidR="00455222" w:rsidRDefault="00455222" w:rsidP="00455222">
      <w:pPr>
        <w:spacing w:after="0" w:line="480" w:lineRule="auto"/>
        <w:ind w:firstLine="851"/>
        <w:rPr>
          <w:rFonts w:ascii="Times New Roman" w:hAnsi="Times New Roman" w:cs="Times New Roman"/>
          <w:b/>
          <w:bCs/>
          <w:color w:val="000000" w:themeColor="text1"/>
          <w:sz w:val="24"/>
          <w:szCs w:val="24"/>
        </w:rPr>
      </w:pPr>
    </w:p>
    <w:p w:rsidR="00455222" w:rsidRDefault="00455222" w:rsidP="00455222">
      <w:pPr>
        <w:spacing w:after="0" w:line="480" w:lineRule="auto"/>
        <w:ind w:firstLine="851"/>
        <w:rPr>
          <w:rFonts w:ascii="Times New Roman" w:hAnsi="Times New Roman" w:cs="Times New Roman"/>
          <w:b/>
          <w:bCs/>
          <w:color w:val="000000" w:themeColor="text1"/>
          <w:sz w:val="24"/>
          <w:szCs w:val="24"/>
        </w:rPr>
      </w:pPr>
    </w:p>
    <w:p w:rsidR="00455222" w:rsidRDefault="00455222" w:rsidP="00455222">
      <w:pPr>
        <w:spacing w:after="0" w:line="480" w:lineRule="auto"/>
        <w:ind w:firstLine="851"/>
        <w:rPr>
          <w:rFonts w:ascii="Times New Roman" w:hAnsi="Times New Roman" w:cs="Times New Roman"/>
          <w:b/>
          <w:bCs/>
          <w:color w:val="000000" w:themeColor="text1"/>
          <w:sz w:val="24"/>
          <w:szCs w:val="24"/>
        </w:rPr>
      </w:pPr>
    </w:p>
    <w:p w:rsidR="00455222" w:rsidRDefault="00455222" w:rsidP="00455222">
      <w:pPr>
        <w:spacing w:after="0" w:line="480" w:lineRule="auto"/>
        <w:ind w:firstLine="851"/>
        <w:rPr>
          <w:rFonts w:ascii="Times New Roman" w:hAnsi="Times New Roman" w:cs="Times New Roman"/>
          <w:b/>
          <w:bCs/>
          <w:color w:val="000000" w:themeColor="text1"/>
          <w:sz w:val="24"/>
          <w:szCs w:val="24"/>
        </w:rPr>
      </w:pPr>
    </w:p>
    <w:p w:rsidR="00455222" w:rsidRDefault="00455222" w:rsidP="00455222">
      <w:pPr>
        <w:spacing w:after="0" w:line="480" w:lineRule="auto"/>
        <w:ind w:firstLine="851"/>
        <w:rPr>
          <w:rFonts w:ascii="Times New Roman" w:hAnsi="Times New Roman" w:cs="Times New Roman"/>
          <w:b/>
          <w:bCs/>
          <w:color w:val="000000" w:themeColor="text1"/>
          <w:sz w:val="24"/>
          <w:szCs w:val="24"/>
        </w:rPr>
      </w:pPr>
    </w:p>
    <w:p w:rsidR="00455222" w:rsidRDefault="00455222" w:rsidP="00455222">
      <w:pPr>
        <w:spacing w:after="0" w:line="480" w:lineRule="auto"/>
        <w:ind w:firstLine="851"/>
        <w:rPr>
          <w:rFonts w:ascii="Times New Roman" w:hAnsi="Times New Roman" w:cs="Times New Roman"/>
          <w:b/>
          <w:bCs/>
          <w:color w:val="000000" w:themeColor="text1"/>
          <w:sz w:val="24"/>
          <w:szCs w:val="24"/>
        </w:rPr>
      </w:pPr>
    </w:p>
    <w:p w:rsidR="00455222" w:rsidRDefault="00455222" w:rsidP="00455222">
      <w:pPr>
        <w:spacing w:after="0" w:line="480" w:lineRule="auto"/>
        <w:ind w:firstLine="851"/>
        <w:rPr>
          <w:rFonts w:ascii="Times New Roman" w:hAnsi="Times New Roman" w:cs="Times New Roman"/>
          <w:b/>
          <w:bCs/>
          <w:color w:val="000000" w:themeColor="text1"/>
          <w:sz w:val="24"/>
          <w:szCs w:val="24"/>
        </w:rPr>
      </w:pPr>
    </w:p>
    <w:p w:rsidR="00455222" w:rsidRDefault="00455222" w:rsidP="00455222">
      <w:pPr>
        <w:spacing w:after="0" w:line="480" w:lineRule="auto"/>
        <w:ind w:firstLine="851"/>
        <w:rPr>
          <w:rFonts w:ascii="Times New Roman" w:hAnsi="Times New Roman" w:cs="Times New Roman"/>
          <w:b/>
          <w:bCs/>
          <w:color w:val="000000" w:themeColor="text1"/>
          <w:sz w:val="24"/>
          <w:szCs w:val="24"/>
        </w:rPr>
      </w:pPr>
    </w:p>
    <w:p w:rsidR="00455222" w:rsidRDefault="00455222" w:rsidP="00455222">
      <w:pPr>
        <w:spacing w:after="0" w:line="480" w:lineRule="auto"/>
        <w:ind w:firstLine="851"/>
        <w:rPr>
          <w:rFonts w:ascii="Times New Roman" w:hAnsi="Times New Roman" w:cs="Times New Roman"/>
          <w:b/>
          <w:bCs/>
          <w:color w:val="000000" w:themeColor="text1"/>
          <w:sz w:val="24"/>
          <w:szCs w:val="24"/>
        </w:rPr>
      </w:pPr>
    </w:p>
    <w:p w:rsidR="00455222" w:rsidRDefault="00455222" w:rsidP="00455222">
      <w:pPr>
        <w:spacing w:after="0" w:line="480" w:lineRule="auto"/>
        <w:ind w:firstLine="851"/>
        <w:rPr>
          <w:rFonts w:ascii="Times New Roman" w:hAnsi="Times New Roman" w:cs="Times New Roman"/>
          <w:b/>
          <w:bCs/>
          <w:color w:val="000000" w:themeColor="text1"/>
          <w:sz w:val="24"/>
          <w:szCs w:val="24"/>
        </w:rPr>
      </w:pPr>
    </w:p>
    <w:p w:rsidR="00455222" w:rsidRDefault="00455222" w:rsidP="00455222">
      <w:pPr>
        <w:spacing w:after="0" w:line="480" w:lineRule="auto"/>
        <w:ind w:firstLine="851"/>
        <w:rPr>
          <w:rFonts w:ascii="Times New Roman" w:hAnsi="Times New Roman" w:cs="Times New Roman"/>
          <w:b/>
          <w:bCs/>
          <w:color w:val="000000" w:themeColor="text1"/>
          <w:sz w:val="24"/>
          <w:szCs w:val="24"/>
        </w:rPr>
      </w:pPr>
    </w:p>
    <w:p w:rsidR="00455222" w:rsidRDefault="00455222" w:rsidP="00455222">
      <w:pPr>
        <w:spacing w:after="0" w:line="480" w:lineRule="auto"/>
        <w:ind w:firstLine="851"/>
        <w:rPr>
          <w:rFonts w:ascii="Times New Roman" w:hAnsi="Times New Roman" w:cs="Times New Roman"/>
          <w:b/>
          <w:bCs/>
          <w:color w:val="000000" w:themeColor="text1"/>
          <w:sz w:val="24"/>
          <w:szCs w:val="24"/>
        </w:rPr>
      </w:pPr>
    </w:p>
    <w:p w:rsidR="00775212" w:rsidRPr="00455222" w:rsidRDefault="006E281F" w:rsidP="00455222">
      <w:pPr>
        <w:spacing w:after="0" w:line="480" w:lineRule="auto"/>
        <w:ind w:firstLine="851"/>
        <w:jc w:val="center"/>
        <w:rPr>
          <w:rFonts w:ascii="Times New Roman" w:hAnsi="Times New Roman" w:cs="Times New Roman"/>
          <w:b/>
          <w:bCs/>
          <w:color w:val="000000" w:themeColor="text1"/>
          <w:sz w:val="24"/>
          <w:szCs w:val="24"/>
        </w:rPr>
      </w:pPr>
      <w:r w:rsidRPr="00455222">
        <w:rPr>
          <w:rFonts w:ascii="Times New Roman" w:hAnsi="Times New Roman" w:cs="Times New Roman"/>
          <w:b/>
          <w:bCs/>
          <w:color w:val="000000" w:themeColor="text1"/>
          <w:sz w:val="24"/>
          <w:szCs w:val="24"/>
        </w:rPr>
        <w:lastRenderedPageBreak/>
        <w:t>References</w:t>
      </w:r>
    </w:p>
    <w:p w:rsidR="00455222" w:rsidRPr="00455222" w:rsidRDefault="006E281F" w:rsidP="00455222">
      <w:pPr>
        <w:spacing w:after="0" w:line="480" w:lineRule="auto"/>
        <w:ind w:left="851" w:hanging="851"/>
        <w:rPr>
          <w:rFonts w:ascii="Times New Roman" w:hAnsi="Times New Roman" w:cs="Times New Roman"/>
          <w:color w:val="000000" w:themeColor="text1"/>
          <w:sz w:val="24"/>
          <w:szCs w:val="24"/>
          <w:shd w:val="clear" w:color="auto" w:fill="FFFFFF"/>
        </w:rPr>
      </w:pPr>
      <w:r w:rsidRPr="00455222">
        <w:rPr>
          <w:rFonts w:ascii="Times New Roman" w:hAnsi="Times New Roman" w:cs="Times New Roman"/>
          <w:color w:val="000000" w:themeColor="text1"/>
          <w:sz w:val="24"/>
          <w:szCs w:val="24"/>
          <w:shd w:val="clear" w:color="auto" w:fill="FFFFFF"/>
        </w:rPr>
        <w:t>Kaeble, D., &amp; Alper, M. (2020). Probation and Parole in the United States, 2017–2018. </w:t>
      </w:r>
      <w:r w:rsidRPr="00455222">
        <w:rPr>
          <w:rFonts w:ascii="Times New Roman" w:hAnsi="Times New Roman" w:cs="Times New Roman"/>
          <w:i/>
          <w:iCs/>
          <w:color w:val="000000" w:themeColor="text1"/>
          <w:sz w:val="24"/>
          <w:szCs w:val="24"/>
          <w:shd w:val="clear" w:color="auto" w:fill="FFFFFF"/>
        </w:rPr>
        <w:t>Bureau of Justice Statistics</w:t>
      </w:r>
      <w:r w:rsidRPr="00455222">
        <w:rPr>
          <w:rFonts w:ascii="Times New Roman" w:hAnsi="Times New Roman" w:cs="Times New Roman"/>
          <w:color w:val="000000" w:themeColor="text1"/>
          <w:sz w:val="24"/>
          <w:szCs w:val="24"/>
          <w:shd w:val="clear" w:color="auto" w:fill="FFFFFF"/>
        </w:rPr>
        <w:t>.</w:t>
      </w:r>
    </w:p>
    <w:p w:rsidR="00455222" w:rsidRPr="00455222" w:rsidRDefault="006E281F" w:rsidP="00455222">
      <w:pPr>
        <w:spacing w:after="0" w:line="480" w:lineRule="auto"/>
        <w:ind w:left="851" w:hanging="851"/>
        <w:rPr>
          <w:rFonts w:ascii="Times New Roman" w:hAnsi="Times New Roman" w:cs="Times New Roman"/>
          <w:b/>
          <w:bCs/>
          <w:color w:val="000000" w:themeColor="text1"/>
          <w:sz w:val="24"/>
          <w:szCs w:val="24"/>
        </w:rPr>
      </w:pPr>
      <w:r w:rsidRPr="00455222">
        <w:rPr>
          <w:rFonts w:ascii="Times New Roman" w:hAnsi="Times New Roman" w:cs="Times New Roman"/>
          <w:color w:val="000000" w:themeColor="text1"/>
          <w:sz w:val="24"/>
          <w:szCs w:val="24"/>
          <w:shd w:val="clear" w:color="auto" w:fill="FFFFFF"/>
        </w:rPr>
        <w:t>Kopel, D. B., Cramer, C. E., &amp; Olson, J. E. (2013). Knives and the Second Amendment. </w:t>
      </w:r>
      <w:r w:rsidRPr="00455222">
        <w:rPr>
          <w:rFonts w:ascii="Times New Roman" w:hAnsi="Times New Roman" w:cs="Times New Roman"/>
          <w:i/>
          <w:iCs/>
          <w:color w:val="000000" w:themeColor="text1"/>
          <w:sz w:val="24"/>
          <w:szCs w:val="24"/>
          <w:shd w:val="clear" w:color="auto" w:fill="FFFFFF"/>
        </w:rPr>
        <w:t>U. Mich. JL Reform</w:t>
      </w:r>
      <w:r w:rsidRPr="00455222">
        <w:rPr>
          <w:rFonts w:ascii="Times New Roman" w:hAnsi="Times New Roman" w:cs="Times New Roman"/>
          <w:color w:val="000000" w:themeColor="text1"/>
          <w:sz w:val="24"/>
          <w:szCs w:val="24"/>
          <w:shd w:val="clear" w:color="auto" w:fill="FFFFFF"/>
        </w:rPr>
        <w:t>, </w:t>
      </w:r>
      <w:r w:rsidRPr="00455222">
        <w:rPr>
          <w:rFonts w:ascii="Times New Roman" w:hAnsi="Times New Roman" w:cs="Times New Roman"/>
          <w:i/>
          <w:iCs/>
          <w:color w:val="000000" w:themeColor="text1"/>
          <w:sz w:val="24"/>
          <w:szCs w:val="24"/>
          <w:shd w:val="clear" w:color="auto" w:fill="FFFFFF"/>
        </w:rPr>
        <w:t>47</w:t>
      </w:r>
      <w:r w:rsidRPr="00455222">
        <w:rPr>
          <w:rFonts w:ascii="Times New Roman" w:hAnsi="Times New Roman" w:cs="Times New Roman"/>
          <w:color w:val="000000" w:themeColor="text1"/>
          <w:sz w:val="24"/>
          <w:szCs w:val="24"/>
          <w:shd w:val="clear" w:color="auto" w:fill="FFFFFF"/>
        </w:rPr>
        <w:t>, 167.</w:t>
      </w:r>
    </w:p>
    <w:p w:rsidR="00455222" w:rsidRPr="00455222" w:rsidRDefault="006E281F" w:rsidP="00455222">
      <w:pPr>
        <w:spacing w:after="0" w:line="480" w:lineRule="auto"/>
        <w:ind w:left="851" w:hanging="851"/>
        <w:rPr>
          <w:rFonts w:ascii="Times New Roman" w:hAnsi="Times New Roman" w:cs="Times New Roman"/>
          <w:b/>
          <w:bCs/>
          <w:color w:val="000000" w:themeColor="text1"/>
          <w:sz w:val="24"/>
          <w:szCs w:val="24"/>
        </w:rPr>
      </w:pPr>
      <w:r w:rsidRPr="00455222">
        <w:rPr>
          <w:rFonts w:ascii="Times New Roman" w:hAnsi="Times New Roman" w:cs="Times New Roman"/>
          <w:color w:val="000000" w:themeColor="text1"/>
          <w:sz w:val="24"/>
          <w:szCs w:val="24"/>
          <w:shd w:val="clear" w:color="auto" w:fill="FFFFFF"/>
        </w:rPr>
        <w:t>Smith, D. E., Marzilli, L., &amp; Davidson, L. D. (2021). Strategies of Drug Prevention in the Workplace: An International Perspective of Drug Testing and Employee Assistance Programs. In </w:t>
      </w:r>
      <w:r w:rsidRPr="00455222">
        <w:rPr>
          <w:rFonts w:ascii="Times New Roman" w:hAnsi="Times New Roman" w:cs="Times New Roman"/>
          <w:i/>
          <w:iCs/>
          <w:color w:val="000000" w:themeColor="text1"/>
          <w:sz w:val="24"/>
          <w:szCs w:val="24"/>
          <w:shd w:val="clear" w:color="auto" w:fill="FFFFFF"/>
        </w:rPr>
        <w:t>Textbook of Addiction Treatment</w:t>
      </w:r>
      <w:r w:rsidRPr="00455222">
        <w:rPr>
          <w:rFonts w:ascii="Times New Roman" w:hAnsi="Times New Roman" w:cs="Times New Roman"/>
          <w:color w:val="000000" w:themeColor="text1"/>
          <w:sz w:val="24"/>
          <w:szCs w:val="24"/>
          <w:shd w:val="clear" w:color="auto" w:fill="FFFFFF"/>
        </w:rPr>
        <w:t> (pp. 733-756). Springer, Cham.</w:t>
      </w:r>
    </w:p>
    <w:sectPr w:rsidR="00455222" w:rsidRPr="00455222" w:rsidSect="005656BA">
      <w:headerReference w:type="default" r:id="rId6"/>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65EE9" w:rsidRDefault="00365EE9">
      <w:pPr>
        <w:spacing w:after="0" w:line="240" w:lineRule="auto"/>
      </w:pPr>
      <w:r>
        <w:separator/>
      </w:r>
    </w:p>
  </w:endnote>
  <w:endnote w:type="continuationSeparator" w:id="1">
    <w:p w:rsidR="00365EE9" w:rsidRDefault="00365EE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65EE9" w:rsidRDefault="00365EE9">
      <w:pPr>
        <w:spacing w:after="0" w:line="240" w:lineRule="auto"/>
      </w:pPr>
      <w:r>
        <w:separator/>
      </w:r>
    </w:p>
  </w:footnote>
  <w:footnote w:type="continuationSeparator" w:id="1">
    <w:p w:rsidR="00365EE9" w:rsidRDefault="00365EE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69581642"/>
      <w:docPartObj>
        <w:docPartGallery w:val="Page Numbers (Top of Page)"/>
        <w:docPartUnique/>
      </w:docPartObj>
    </w:sdtPr>
    <w:sdtEndPr>
      <w:rPr>
        <w:rFonts w:ascii="Times New Roman" w:hAnsi="Times New Roman" w:cs="Times New Roman"/>
        <w:noProof/>
        <w:sz w:val="24"/>
        <w:szCs w:val="24"/>
      </w:rPr>
    </w:sdtEndPr>
    <w:sdtContent>
      <w:p w:rsidR="00455222" w:rsidRPr="00455222" w:rsidRDefault="005656BA">
        <w:pPr>
          <w:pStyle w:val="Header"/>
          <w:jc w:val="right"/>
          <w:rPr>
            <w:rFonts w:ascii="Times New Roman" w:hAnsi="Times New Roman" w:cs="Times New Roman"/>
            <w:sz w:val="24"/>
            <w:szCs w:val="24"/>
          </w:rPr>
        </w:pPr>
        <w:r w:rsidRPr="00455222">
          <w:rPr>
            <w:rFonts w:ascii="Times New Roman" w:hAnsi="Times New Roman" w:cs="Times New Roman"/>
            <w:sz w:val="24"/>
            <w:szCs w:val="24"/>
          </w:rPr>
          <w:fldChar w:fldCharType="begin"/>
        </w:r>
        <w:r w:rsidR="006E281F" w:rsidRPr="00455222">
          <w:rPr>
            <w:rFonts w:ascii="Times New Roman" w:hAnsi="Times New Roman" w:cs="Times New Roman"/>
            <w:sz w:val="24"/>
            <w:szCs w:val="24"/>
          </w:rPr>
          <w:instrText xml:space="preserve"> PAGE   \* MERGEFORMAT </w:instrText>
        </w:r>
        <w:r w:rsidRPr="00455222">
          <w:rPr>
            <w:rFonts w:ascii="Times New Roman" w:hAnsi="Times New Roman" w:cs="Times New Roman"/>
            <w:sz w:val="24"/>
            <w:szCs w:val="24"/>
          </w:rPr>
          <w:fldChar w:fldCharType="separate"/>
        </w:r>
        <w:r w:rsidR="009A239D">
          <w:rPr>
            <w:rFonts w:ascii="Times New Roman" w:hAnsi="Times New Roman" w:cs="Times New Roman"/>
            <w:noProof/>
            <w:sz w:val="24"/>
            <w:szCs w:val="24"/>
          </w:rPr>
          <w:t>1</w:t>
        </w:r>
        <w:r w:rsidRPr="00455222">
          <w:rPr>
            <w:rFonts w:ascii="Times New Roman" w:hAnsi="Times New Roman" w:cs="Times New Roman"/>
            <w:noProof/>
            <w:sz w:val="24"/>
            <w:szCs w:val="24"/>
          </w:rPr>
          <w:fldChar w:fldCharType="end"/>
        </w:r>
      </w:p>
    </w:sdtContent>
  </w:sdt>
  <w:p w:rsidR="00455222" w:rsidRDefault="00455222">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bM0NDeyMDYwMrewNDNV0lEKTi0uzszPAykwrAUAiLpg9iwAAAA="/>
  </w:docVars>
  <w:rsids>
    <w:rsidRoot w:val="00954FD4"/>
    <w:rsid w:val="000274EF"/>
    <w:rsid w:val="0004514F"/>
    <w:rsid w:val="000857EE"/>
    <w:rsid w:val="0011114D"/>
    <w:rsid w:val="00126437"/>
    <w:rsid w:val="0014623B"/>
    <w:rsid w:val="00365EE9"/>
    <w:rsid w:val="0043211B"/>
    <w:rsid w:val="00455222"/>
    <w:rsid w:val="005656BA"/>
    <w:rsid w:val="00582E6A"/>
    <w:rsid w:val="005F79BD"/>
    <w:rsid w:val="00635A7F"/>
    <w:rsid w:val="006E281F"/>
    <w:rsid w:val="00775212"/>
    <w:rsid w:val="0077696C"/>
    <w:rsid w:val="007D4708"/>
    <w:rsid w:val="007E6D3F"/>
    <w:rsid w:val="00933E92"/>
    <w:rsid w:val="00954FD4"/>
    <w:rsid w:val="009A239D"/>
    <w:rsid w:val="00C07BC1"/>
    <w:rsid w:val="00C37230"/>
    <w:rsid w:val="00C54775"/>
    <w:rsid w:val="00CD3412"/>
    <w:rsid w:val="00D10A5F"/>
    <w:rsid w:val="00D42C7A"/>
    <w:rsid w:val="00D84CA0"/>
    <w:rsid w:val="00DF4908"/>
    <w:rsid w:val="00E74F0B"/>
    <w:rsid w:val="00E85E60"/>
    <w:rsid w:val="00ED38C9"/>
    <w:rsid w:val="00EE4F44"/>
    <w:rsid w:val="00F45E92"/>
    <w:rsid w:val="00F53D55"/>
    <w:rsid w:val="00F945E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56B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55222"/>
    <w:pPr>
      <w:tabs>
        <w:tab w:val="center" w:pos="4513"/>
        <w:tab w:val="right" w:pos="9026"/>
      </w:tabs>
      <w:spacing w:after="0" w:line="240" w:lineRule="auto"/>
    </w:pPr>
  </w:style>
  <w:style w:type="character" w:customStyle="1" w:styleId="HeaderChar">
    <w:name w:val="Header Char"/>
    <w:basedOn w:val="DefaultParagraphFont"/>
    <w:link w:val="Header"/>
    <w:uiPriority w:val="99"/>
    <w:rsid w:val="00455222"/>
  </w:style>
  <w:style w:type="paragraph" w:styleId="Footer">
    <w:name w:val="footer"/>
    <w:basedOn w:val="Normal"/>
    <w:link w:val="FooterChar"/>
    <w:uiPriority w:val="99"/>
    <w:unhideWhenUsed/>
    <w:rsid w:val="00455222"/>
    <w:pPr>
      <w:tabs>
        <w:tab w:val="center" w:pos="4513"/>
        <w:tab w:val="right" w:pos="9026"/>
      </w:tabs>
      <w:spacing w:after="0" w:line="240" w:lineRule="auto"/>
    </w:pPr>
  </w:style>
  <w:style w:type="character" w:customStyle="1" w:styleId="FooterChar">
    <w:name w:val="Footer Char"/>
    <w:basedOn w:val="DefaultParagraphFont"/>
    <w:link w:val="Footer"/>
    <w:uiPriority w:val="99"/>
    <w:rsid w:val="00455222"/>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1187</Words>
  <Characters>6766</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Kevin</cp:lastModifiedBy>
  <cp:revision>2</cp:revision>
  <dcterms:created xsi:type="dcterms:W3CDTF">2021-02-04T13:24:00Z</dcterms:created>
  <dcterms:modified xsi:type="dcterms:W3CDTF">2021-02-04T13:24:00Z</dcterms:modified>
</cp:coreProperties>
</file>